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27" w:rsidRDefault="00E17F27" w:rsidP="00E17F27">
      <w:pPr>
        <w:pStyle w:val="1"/>
      </w:pPr>
      <w:r>
        <w:t>(2031-67-6)甲基三乙氧基硅烷的理化及危险特性表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E17F27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spacing w:val="8"/>
              </w:rPr>
              <w:t>甲基三乙氧基硅烷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spacing w:val="8"/>
              </w:rPr>
              <w:t>Methyltriethoxysilane</w:t>
            </w:r>
            <w:r>
              <w:rPr>
                <w:spacing w:val="8"/>
              </w:rPr>
              <w:t>；</w:t>
            </w:r>
            <w:r>
              <w:rPr>
                <w:spacing w:val="8"/>
              </w:rPr>
              <w:t>Triethoxy methylsilane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ˎ̥" w:hAnsi="ˎ̥"/>
                <w:sz w:val="18"/>
                <w:szCs w:val="18"/>
              </w:rPr>
              <w:t>C</w:t>
            </w:r>
            <w:r>
              <w:rPr>
                <w:rFonts w:ascii="ˎ̥" w:hAnsi="ˎ̥"/>
                <w:sz w:val="18"/>
                <w:szCs w:val="18"/>
                <w:vertAlign w:val="subscript"/>
              </w:rPr>
              <w:t>7</w:t>
            </w:r>
            <w:r>
              <w:rPr>
                <w:rFonts w:ascii="ˎ̥" w:hAnsi="ˎ̥"/>
                <w:sz w:val="18"/>
                <w:szCs w:val="18"/>
              </w:rPr>
              <w:t>H</w:t>
            </w:r>
            <w:r>
              <w:rPr>
                <w:rFonts w:ascii="ˎ̥" w:hAnsi="ˎ̥"/>
                <w:sz w:val="18"/>
                <w:szCs w:val="18"/>
                <w:vertAlign w:val="subscript"/>
              </w:rPr>
              <w:t>18</w:t>
            </w:r>
            <w:r>
              <w:rPr>
                <w:rFonts w:ascii="ˎ̥" w:hAnsi="ˎ̥"/>
                <w:sz w:val="18"/>
                <w:szCs w:val="18"/>
              </w:rPr>
              <w:t>O</w:t>
            </w:r>
            <w:r>
              <w:rPr>
                <w:rFonts w:ascii="ˎ̥" w:hAnsi="ˎ̥"/>
                <w:sz w:val="18"/>
                <w:szCs w:val="18"/>
                <w:vertAlign w:val="subscript"/>
              </w:rPr>
              <w:t>3</w:t>
            </w:r>
            <w:r>
              <w:rPr>
                <w:rFonts w:ascii="ˎ̥" w:hAnsi="ˎ̥"/>
                <w:sz w:val="18"/>
                <w:szCs w:val="18"/>
              </w:rPr>
              <w:t>Si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spacing w:val="8"/>
              </w:rPr>
              <w:t>178.30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61866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spacing w:val="8"/>
              </w:rPr>
              <w:t>2031-67-6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spacing w:val="8"/>
              </w:rPr>
              <w:t>无色、透明、有甜味的液体</w:t>
            </w:r>
            <w:r>
              <w:rPr>
                <w:rFonts w:hint="eastAsia"/>
                <w:spacing w:val="8"/>
              </w:rPr>
              <w:t>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spacing w:val="8"/>
              </w:rPr>
              <w:t>不溶于水，溶于乙醇、丙酮、乙醚等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沸点（℃）：143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相对密度（水＝1）：0.89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相对密度（空气＝1）：6.14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饱和蒸气压（kPa）：1.46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E17F27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闪点（℃）：23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最大爆炸压力（MPa）：0.490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spacing w:val="8"/>
              </w:rPr>
              <w:t>一氧化碳、二氧化碳、氧化硅。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禁忌物：强氧化剂、强酸。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  <w:color w:val="33CCCC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spacing w:val="8"/>
              </w:rPr>
              <w:t>遇高热、明火易燃。与氧化剂能发生强烈反应。若遇高热，容器内压增大，有开裂和爆炸的危险。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spacing w:val="8"/>
              </w:rPr>
              <w:t>用二氧化碳、干粉、泡沫、砂土等。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spacing w:val="8"/>
              </w:rPr>
              <w:t>15700mg/kg(</w:t>
            </w:r>
            <w:r>
              <w:rPr>
                <w:spacing w:val="8"/>
              </w:rPr>
              <w:t>大鼠经口</w:t>
            </w:r>
            <w:r>
              <w:rPr>
                <w:spacing w:val="8"/>
              </w:rPr>
              <w:t>)</w:t>
            </w:r>
            <w:r>
              <w:rPr>
                <w:rFonts w:ascii="宋体" w:hAnsi="宋体" w:hint="eastAsia"/>
              </w:rPr>
              <w:t xml:space="preserve">             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</w:tc>
      </w:tr>
      <w:tr w:rsidR="00E17F27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E17F27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spacing w:val="8"/>
              </w:rPr>
              <w:t>本品对皮肤有刺激作用，其蒸气或雾对眼睛、粘膜和上呼吸道有刺激作用。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pacing w:val="8"/>
                <w:kern w:val="0"/>
                <w:szCs w:val="21"/>
              </w:rPr>
              <w:t>皮肤接触：脱去污染的衣着，用肥皂水及清水彻底冲洗。 眼睛接触：立即翻开上下眼睑，用流动清水冲洗15分钟。就医。 吸入：脱离现场至空气新鲜处。呼吸困难时给输氧。呼吸停止时，立即进行人工呼吸。就医。 食入：误服者给饮足量温水，催吐，就医。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呼吸系统防护：可能接触其蒸气时，应该佩戴防毒面具。紧急事态抢救或撤离时，建议佩戴自给式呼吸器。 眼睛防护：戴化学安全防护眼镜。 防护服：穿防静电工作服。 手防护：戴防化学品手套。 其它：工作现场严禁吸烟。工作后，淋浴更衣。注意个人清洁卫生。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spacing w:val="8"/>
              </w:rPr>
              <w:t>疏散泄漏污染区人员至安全区，禁止无关人员进入污染区，切断火源。应急处理人员戴好防毒面具，穿一般消防防护服。在确保安全情况下堵漏。用砂土、蛭石或其它惰性材料吸收，然后惧要运至废物处理场所。也可以用为燃性分散剂制成的乳液刷洗，经稀释的洗液放入废水系统。如大量泄漏，利用围堤收容，然后收集、转移、回收或无害处理后废弃。</w:t>
            </w:r>
          </w:p>
        </w:tc>
      </w:tr>
      <w:tr w:rsidR="00E17F2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17F27" w:rsidRDefault="00E17F2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27" w:rsidRDefault="00E17F27" w:rsidP="0090435F">
            <w:pPr>
              <w:spacing w:line="310" w:lineRule="exact"/>
              <w:rPr>
                <w:rFonts w:ascii="宋体" w:hAnsi="宋体"/>
                <w:szCs w:val="21"/>
              </w:rPr>
            </w:pPr>
            <w:r>
              <w:rPr>
                <w:rFonts w:ascii="ˎ̥" w:hAnsi="ˎ̥"/>
                <w:szCs w:val="21"/>
              </w:rPr>
              <w:t>储存于阴凉、干燥、通风良好的库房。远离火种、热源。库温不宜超过</w:t>
            </w:r>
            <w:r>
              <w:rPr>
                <w:rFonts w:ascii="ˎ̥" w:hAnsi="ˎ̥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℃</w:t>
            </w:r>
            <w:r>
              <w:rPr>
                <w:rFonts w:ascii="ˎ̥" w:hAnsi="ˎ̥"/>
                <w:szCs w:val="21"/>
              </w:rPr>
              <w:t>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</w:tbl>
    <w:p w:rsidR="00E17F27" w:rsidRDefault="00E17F27" w:rsidP="00E17F27">
      <w:pPr>
        <w:rPr>
          <w:lang w:val="zh-CN"/>
        </w:rPr>
      </w:pPr>
    </w:p>
    <w:p w:rsidR="00E63B54" w:rsidRDefault="00E17F27" w:rsidP="00E17F27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27"/>
    <w:rsid w:val="00E17F2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C7BED-6AF6-46E5-A212-6C6C538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17F2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7F2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zyhq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